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551041C"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jc w:val="center"/>
        <w:rPr>
          <w:b w:val="1"/>
        </w:rPr>
      </w:pPr>
      <w:r>
        <w:pict>
          <v:shape style="width:132pt;height:78.9pt">
            <v:imagedata xmlns:o="urn:schemas-microsoft-com:office:office" xmlns:r="http://schemas.openxmlformats.org/officeDocument/2006/relationships" r:id="Relimage1" o:title=""/>
          </v:shape>
        </w:pict>
      </w:r>
    </w:p>
    <w:p>
      <w:pPr>
        <w:jc w:val="center"/>
        <w:spacing w:lineRule="auto" w:line="240" w:before="0" w:after="0" w:beforeAutospacing="0" w:afterAutospacing="0"/>
        <w:ind w:firstLine="0"/>
        <w:rPr>
          <w:rFonts w:ascii="Arial" w:hAnsi="Arial"/>
          <w:lang w:eastAsia="el-GR"/>
        </w:rPr>
      </w:pPr>
      <w:r>
        <w:rPr>
          <w:rFonts w:ascii="Arial" w:hAnsi="Arial"/>
          <w:b w:val="1"/>
          <w:lang w:eastAsia="el-GR"/>
        </w:rPr>
        <w:t>ΔΙΕΥΘΥΝΣΗ ΤΕΧΝΙΚΩΝ ΥΠΗΡΕΣΙΩΝ</w:t>
      </w:r>
    </w:p>
    <w:p>
      <w:pPr>
        <w:jc w:val="center"/>
        <w:spacing w:lineRule="auto" w:line="240" w:before="0" w:after="0" w:beforeAutospacing="0" w:afterAutospacing="0"/>
        <w:ind w:firstLine="0"/>
        <w:rPr>
          <w:rFonts w:ascii="Arial" w:hAnsi="Arial"/>
          <w:b w:val="1"/>
          <w:lang w:eastAsia="el-GR"/>
        </w:rPr>
      </w:pPr>
      <w:r>
        <w:rPr>
          <w:rFonts w:ascii="Arial" w:hAnsi="Arial"/>
          <w:b w:val="1"/>
          <w:lang w:eastAsia="el-GR"/>
        </w:rPr>
        <w:t>ΤΜΗΜΑ ΗΛ/ΓΙΑΣ – ΜΗΧ/ΓΙΑΣ</w:t>
      </w:r>
    </w:p>
    <w:p>
      <w:pPr>
        <w:jc w:val="center"/>
        <w:spacing w:lineRule="auto" w:line="240" w:before="0" w:after="0" w:beforeAutospacing="0" w:afterAutospacing="0"/>
        <w:ind w:firstLine="0"/>
        <w:rPr>
          <w:rFonts w:ascii="Arial" w:hAnsi="Arial"/>
          <w:b w:val="1"/>
          <w:lang w:eastAsia="el-GR"/>
        </w:rPr>
      </w:pPr>
    </w:p>
    <w:p>
      <w:pPr>
        <w:jc w:val="center"/>
        <w:spacing w:lineRule="auto" w:line="240" w:before="0" w:after="0" w:beforeAutospacing="0" w:afterAutospacing="0"/>
        <w:ind w:firstLine="0"/>
        <w:rPr>
          <w:rFonts w:ascii="Arial" w:hAnsi="Arial"/>
          <w:lang w:eastAsia="el-GR"/>
        </w:rPr>
      </w:pPr>
    </w:p>
    <w:p>
      <w:pPr>
        <w:jc w:val="center"/>
        <w:spacing w:lineRule="auto" w:line="240" w:before="0" w:after="0" w:beforeAutospacing="0" w:afterAutospacing="0"/>
        <w:ind w:firstLine="0"/>
        <w:rPr>
          <w:rFonts w:ascii="Arial" w:hAnsi="Arial"/>
          <w:sz w:val="20"/>
          <w:lang w:eastAsia="el-GR"/>
        </w:rPr>
      </w:pPr>
    </w:p>
    <w:p>
      <w:pPr>
        <w:jc w:val="center"/>
        <w:spacing w:lineRule="auto" w:line="240" w:before="0" w:after="0" w:beforeAutospacing="0" w:afterAutospacing="0"/>
        <w:ind w:firstLine="0"/>
        <w:rPr>
          <w:rFonts w:ascii="Arial" w:hAnsi="Arial"/>
          <w:sz w:val="20"/>
          <w:lang w:eastAsia="el-GR"/>
        </w:rPr>
      </w:pPr>
    </w:p>
    <w:p>
      <w:pPr>
        <w:jc w:val="center"/>
        <w:spacing w:lineRule="auto" w:line="240" w:before="0" w:after="0" w:beforeAutospacing="0" w:afterAutospacing="0"/>
        <w:ind w:firstLine="0"/>
        <w:rPr>
          <w:b w:val="1"/>
        </w:rPr>
      </w:pPr>
      <w:r>
        <w:rPr>
          <w:rFonts w:ascii="Arial" w:hAnsi="Arial"/>
          <w:sz w:val="32"/>
          <w:b w:val="1"/>
          <w:u w:val="single"/>
          <w:lang w:eastAsia="el-GR"/>
        </w:rPr>
        <w:t>ΤΕΧΝΙΚΗ ΠΕΡΙΓΡΑΦΗ</w:t>
      </w:r>
    </w:p>
    <w:p>
      <w:pPr>
        <w:jc w:val="center"/>
        <w:rPr>
          <w:sz w:val="24"/>
          <w:b w:val="1"/>
          <w:u w:val="single"/>
        </w:rPr>
      </w:pPr>
      <w:r>
        <w:rPr>
          <w:sz w:val="24"/>
          <w:b w:val="1"/>
          <w:u w:val="single"/>
        </w:rPr>
        <w:t>ΠΡΟΜΗΘΕΙΑΣ ΗΛΕΚΤΡΟΛΟΓΙΚΟΥ ΥΛΙΚΟΥ ΓΙΑ ΤΗΝ ΠΕΡΙΟΔΟ 2015 – 2016</w:t>
      </w:r>
    </w:p>
    <w:p>
      <w:pPr>
        <w:pStyle w:val="P1"/>
        <w:ind w:firstLine="0" w:left="1080"/>
        <w:widowControl w:val="0"/>
        <w:rPr>
          <w:sz w:val="24"/>
          <w:b w:val="1"/>
        </w:rPr>
      </w:pPr>
    </w:p>
    <w:p>
      <w:pPr>
        <w:pStyle w:val="P1"/>
        <w:widowControl w:val="0"/>
        <w:rPr>
          <w:sz w:val="24"/>
          <w:b w:val="1"/>
        </w:rPr>
        <w:numPr>
          <w:ilvl w:val="0"/>
          <w:numId w:val="7"/>
        </w:numPr>
      </w:pPr>
      <w:r>
        <w:rPr>
          <w:sz w:val="24"/>
          <w:b w:val="1"/>
        </w:rPr>
        <w:t>ΑΝΤΙΚΕΙΜΕΝΟ ΤΗΣ ΠΡΟΜΗΘΕΙΑΣ</w:t>
      </w:r>
    </w:p>
    <w:p>
      <w:r>
        <w:t xml:space="preserve">Οι παρούσες τεχνικές προδιαγραφές  αφορούν την προμήθεια ηλεκτρολογικού υλικού για τη συντήρηση δικτύων ισχυρών και ασθενών ρευμάτων – ηλεκτρολογικών εγκαταστάσεων (λαμπτήρων – υλικών συντήρησης και επισκευής κτιρίων κλπ), προκειμένου να καλυφθούν οι ανάγκες της Βουλής των Ελλήνων σε ηλεκτρολογικό εξοπλισμό και υλικά.</w:t>
      </w:r>
    </w:p>
    <w:p>
      <w:pPr>
        <w:rPr>
          <w:sz w:val="24"/>
          <w:b w:val="1"/>
        </w:rPr>
      </w:pPr>
      <w:r>
        <w:rPr>
          <w:sz w:val="24"/>
          <w:b w:val="1"/>
        </w:rPr>
        <w:t>Β.</w:t>
      </w:r>
      <w:r>
        <w:rPr>
          <w:sz w:val="24"/>
        </w:rPr>
        <w:t xml:space="preserve"> </w:t>
      </w:r>
      <w:r>
        <w:rPr>
          <w:sz w:val="24"/>
          <w:b w:val="1"/>
        </w:rPr>
        <w:t>ΠΙΣΤΟΠΟΙΗΣΗ ΥΛΙΚΩΝ</w:t>
      </w:r>
    </w:p>
    <w:p>
      <w:r>
        <w:t>Όλα τα υλικά απαιτείται να είναι κατασκευασμένα από αξιόπιστο και πιστοποιημένο κατασκευαστή, να πληρούν τις Εθνικές προδιαγραφές (πρότυπα ΕΛΟΤ, ΕΒΕΤΑΜ, ΤΟΤΕΕ) και τις Ευρωπαϊκές προδιαγραφές κατά DIN, CEN, BSI, για είδη κατηγορίας τους και το πρότυπο CE και να είναι πιστοποιημένα από διεθνή Οργανισμό ή ινστιτούτο πιστοποίησης, προκειμένου να εξασφαλιστεί στο μέγιστο η ασφαλής και ομαλή λειτουργία των εγκαταστάσεων της Βουλής των Ελλήνων. Τυχόν απόκλιση κάποιου προσφερόμενου προϊόντος από τις παραπάνω τεχνικές προδιαγραφές, συνεπάγεται απόρριψη της συνολικής προσφοράς</w:t>
      </w:r>
    </w:p>
    <w:p>
      <w:r>
        <w:t>Κάθε προσφερόμενο είδος, θα είναι πλήρες και θα συνοδεύεται από τα αντίστοιχα μικροϋλικά (π.χ. δακτύλιοι, βίδες, κ.λ.π.), τα οποία και θα συμπεριλαμβάνονται στην τιμή προσφοράς. Επιπλέον, στην τιμή προσφοράς θα συμπεριλαμβάνονται και τα έξοδα μεταφοράς των προσφερόμενων ειδών από τον τόπο παραγωγής- διανομής τους μέχρι την αποθήκη υλικών της Βουλής των Ελλήνων.</w:t>
      </w:r>
    </w:p>
    <w:p>
      <w:r>
        <w:t xml:space="preserve"> </w:t>
      </w:r>
    </w:p>
    <w:p>
      <w:pPr>
        <w:ind w:firstLine="426"/>
        <w:rPr>
          <w:sz w:val="24"/>
          <w:b w:val="1"/>
        </w:rPr>
      </w:pPr>
      <w:r>
        <w:rPr>
          <w:sz w:val="24"/>
          <w:b w:val="1"/>
        </w:rPr>
        <w:t>Γ. ΤΕΧΝΙΚΕΣ ΠΡΟΔΙΑΓΡΑΦΕΣ</w:t>
      </w:r>
    </w:p>
    <w:p>
      <w:pPr>
        <w:rPr>
          <w:b w:val="1"/>
        </w:rPr>
      </w:pPr>
      <w:r>
        <w:rPr>
          <w:b w:val="1"/>
        </w:rPr>
        <w:t>1. Κανονισμοί</w:t>
      </w:r>
    </w:p>
    <w:p>
      <w:r>
        <w:t>Τα υλικά για τα οποία υπάρχουν καθιερωμένα πρότυπα ποιότητας και κανονισμοί των παρακάτω αναφερόμενων οργανισμών, θα είναι κατασκευασμένα σύμφωνα με τα πρότυπα αυτά.</w:t>
      </w:r>
    </w:p>
    <w:p>
      <w:r>
        <w:t>- Ελληνικός Οργανισμός Τυποποίησης (ΕΛΟΤ) και/ή</w:t>
      </w:r>
    </w:p>
    <w:p>
      <w:r>
        <w:t xml:space="preserve">-Ανώνυμη εταιρία Βιομηχανικής Έρευνας, Τεχνολογικής Ανάπτυξης και             Εργαστηριακών Δοκιμών Πιστοποίησης και Ποιότητας (ΕΒΕΤΑΜ) και/ή</w:t>
      </w:r>
    </w:p>
    <w:p>
      <w:r>
        <w:t>- Γερμανικό Ινστιτούτο Τυποποίησης (DIN) και/ή</w:t>
      </w:r>
    </w:p>
    <w:p>
      <w:r>
        <w:t>- Διεθνής Οργανισμός Τυποποίησης (ISO)</w:t>
      </w:r>
    </w:p>
    <w:p/>
    <w:p>
      <w:pPr>
        <w:ind w:firstLine="0"/>
      </w:pPr>
      <w:r>
        <w:t>Όλα τα είδη θα φέρουν υποχρεωτικά σήμανση CE της Ευρωπαϊκής Ένωσης και θα είναι σύμφωνα με τα αντίστοιχα αυτής</w:t>
      </w:r>
    </w:p>
    <w:p>
      <w:pPr>
        <w:ind w:firstLine="0"/>
      </w:pPr>
      <w:r>
        <w:t>Όλα τα υλικά πρέπει να είναι της καλύτερης δυνατής ποιότητας, χωρίς βλάβες ή ελαττώματα, σύμφωνα με όσα ορίζονται στις προδιαγραφές, σε ότι αφορά την προέλευση, την ποιότητα, τις διαστάσεις, το σχήμα, το χρωματισμό, την τελική επεξεργασία και τέλος την εμφάνισή τους.</w:t>
      </w:r>
    </w:p>
    <w:p>
      <w:pPr>
        <w:ind w:firstLine="0"/>
        <w:rPr>
          <w:b w:val="1"/>
        </w:rPr>
      </w:pPr>
      <w:r>
        <w:t>Για οτιδήποτε δεν αναφέρεται ρητά στα σχετικά εδάφια, θα πρέπει να είναι σύμφωνο με τις ισχύουσες εθνικές και ευρωπαϊκές προδιαγραφές ασφαλείας.</w:t>
      </w:r>
    </w:p>
    <w:p>
      <w:pPr>
        <w:ind w:firstLine="0"/>
      </w:pPr>
      <w:r>
        <w:t>Οι αγωγοί και τα καλώδια θα είναι ενδεικτικού τύπου ΕΛΛΗΝΙΚΑ ΚΑΛΩΔΙΑ ΑΕ ή οποιασδήποτε άλλης εταιρείας ίδιων ή καλύτερων προδιαγραφών, κατασκευασμένα σύμφωνα με τους Ευρωπαϊκούς Κανονισμούς και το πρότυπο CE από αξιόπιστο και πιστοποιημένο κατασκευαστή. Σε ότι αφορά τα καλώδια θα παραδίδονται σε ακέραιες κουλούρες ή ήμισυ κουλούρων.</w:t>
      </w:r>
    </w:p>
    <w:p>
      <w:pPr>
        <w:ind w:firstLine="0"/>
      </w:pPr>
      <w:r>
        <w:t xml:space="preserve"> Όλα τα υλικά δεν θα πρέπει να φέρουν κακώσεις, εκδορές, τσακίσεις, κλπ.</w:t>
      </w:r>
    </w:p>
    <w:p>
      <w:pPr>
        <w:ind w:firstLine="0"/>
      </w:pPr>
      <w:r>
        <w:t>Τα κανάλια θα είναι τύπου Hager ή Legrand ή ισοδύναμου (οποιασδήποτε άλλης εταιρείας ίδιων ή καλύτερων προδιαγραφών), πλαστικά κατασκευασμένα από αξιόπιστο και πιστοποιημένο κατασκευαστή σύμφωνα με τους Ευρωπαϊκούς Κανονισμούς και το πρότυπο CE. Για όλα τα ανωτέρω θα παραδίδονται ακέραια τεμάχια τα οποία δεν θα πρέπει να φέρουν οποιουδήποτε είδους κάκωση εκδορά ή φθορά.</w:t>
      </w:r>
    </w:p>
    <w:p>
      <w:pPr>
        <w:ind w:firstLine="0"/>
      </w:pPr>
      <w:r>
        <w:t xml:space="preserve">Όλα τα όργανα ηλεκτρικών πινάκων θα είναι τύπου </w:t>
      </w:r>
      <w:r>
        <w:rPr>
          <w:lang w:val="en-US"/>
        </w:rPr>
        <w:t>Hager</w:t>
      </w:r>
      <w:r>
        <w:t xml:space="preserve"> ή ισοδύναμου (οποιασδήποτε άλλης εταιρείας ίδιων ή καλύτερων προδιαγραφών) κατασκευασμένοι σύμφωνα με τους Ευρωπαϊκούς Κανονισμούς και το πρότυπο CE από αξιόπιστο πιστοποιημένο κατασκευαστή.</w:t>
      </w:r>
    </w:p>
    <w:p>
      <w:pPr>
        <w:ind w:firstLine="0"/>
      </w:pPr>
      <w:r>
        <w:t xml:space="preserve">Οι διακόπτες και οι ρευματοδότες θα είναι ενδεικτικού τύπου Legrand σειρά </w:t>
      </w:r>
      <w:r>
        <w:rPr>
          <w:lang w:val="en-US"/>
        </w:rPr>
        <w:t>Mosaic</w:t>
      </w:r>
      <w:r>
        <w:t xml:space="preserve"> ή ισοδύναμου (οποιασδήποτε άλλης εταιρείας ίδιων ή καλύτερων προδιαγραφών), κατασκευασμένοι σύμφωνα με τους Ευρωπαϊκούς Κανονισμούς και το πρότυπο CE από αξιόπιστο και πιστοποιημένο κατασκευαστή. Θα παραδίδονται ακέραια τεμάχια, πλήρη, συνοδευόμενα από όλα τα απαραίτητα μικροϋλικά στηρίξεως, ως επί τω πλείστον χρώματος λευκού εκτός κι αν ρητά αναγράφεται διαφορετικό χρώμα στο έντυπο παραγγελίας της Υπηρεσίας.</w:t>
      </w:r>
    </w:p>
    <w:p>
      <w:pPr>
        <w:ind w:firstLine="0"/>
      </w:pPr>
      <w:r>
        <w:t>Οι λαμπτήρες θα είναι μακράς διάρκειας ζωής (</w:t>
      </w:r>
      <w:r>
        <w:rPr>
          <w:lang w:val="en-US"/>
        </w:rPr>
        <w:t>longlife</w:t>
      </w:r>
      <w:r>
        <w:t>), ενδεικτικού τύπου Phillips ή Osram, κατασκευασμένοι σύμφωνα με τους Ευρωπαϊκούς Κανονισμούς και το πρότυπο CE από αξιόπιστο και πιστοποιημένο κατασκευαστή.</w:t>
      </w:r>
    </w:p>
    <w:p>
      <w:r>
        <w:t>Οι Τεχνικές Προδιαγραφές καλύπτουν εκείνα τα υλικά για τα οποία υπάρχουν αυξημένες απαιτήσεις ποιότητας και ασφάλειας.</w:t>
      </w:r>
    </w:p>
    <w:p>
      <w:r>
        <w:rPr>
          <w:b w:val="1"/>
          <w:u w:val="single"/>
        </w:rPr>
        <w:t>1. Λαμπτήρες συμπαγείς ισχύος 30-33W</w:t>
      </w:r>
      <w:r>
        <w:rPr>
          <w:b w:val="1"/>
        </w:rPr>
        <w:t>.</w:t>
      </w:r>
      <w:r>
        <w:t xml:space="preserve"> Τύπου 2</w:t>
      </w:r>
      <w:r>
        <w:rPr>
          <w:lang w:val="en-US"/>
        </w:rPr>
        <w:t>U</w:t>
      </w:r>
      <w:r>
        <w:t xml:space="preserve"> – ηλεκτρονικός, λυχνιολαβή Ε27 Μέσος χρόνος ζωής &gt;20.000 ώρες με κατανάλωση ~75% λιγότερο από τους απλούς λαμπτήρες πυράκτωσης. Θερμοκρασία χρώματος 4000Κ .Φωτεινή ροή τουλάχιστον 1900 Lumen και κανονικό βίδωμα.</w:t>
      </w:r>
    </w:p>
    <w:p>
      <w:r>
        <w:rPr>
          <w:b w:val="1"/>
          <w:u w:val="single"/>
        </w:rPr>
        <w:t xml:space="preserve">2. Λαμπτήρες συμπαγείς </w:t>
      </w:r>
      <w:r>
        <w:rPr>
          <w:b w:val="1"/>
          <w:u w:val="single"/>
          <w:lang w:val="en-US"/>
        </w:rPr>
        <w:t>PL</w:t>
      </w:r>
      <w:r>
        <w:rPr>
          <w:b w:val="1"/>
          <w:u w:val="single"/>
        </w:rPr>
        <w:t>-</w:t>
      </w:r>
      <w:r>
        <w:rPr>
          <w:b w:val="1"/>
          <w:u w:val="single"/>
          <w:lang w:val="en-US"/>
        </w:rPr>
        <w:t>C</w:t>
      </w:r>
      <w:r>
        <w:rPr>
          <w:b w:val="1"/>
          <w:u w:val="single"/>
        </w:rPr>
        <w:t xml:space="preserve"> 13W</w:t>
      </w:r>
      <w:r>
        <w:t xml:space="preserve">. Ηλεκτρονικοί λαμπτήρες εξοικονόμησης ενέργειας </w:t>
      </w:r>
      <w:r>
        <w:rPr>
          <w:lang w:val="en-US"/>
        </w:rPr>
        <w:t>P</w:t>
      </w:r>
      <w:r>
        <w:t xml:space="preserve">L. Tάσης λειτουργίας 220V-240V  Μέσος χρόνος ζωής &gt;12.000 ώρες με κατανάλωση ~75% λιγότερο από τους απλούς λαμπτήρες πυράκτωσης. Κάλυκας </w:t>
      </w:r>
      <w:r>
        <w:rPr>
          <w:lang w:val="en-US"/>
        </w:rPr>
        <w:t>G</w:t>
      </w:r>
      <w:r>
        <w:t xml:space="preserve">24*-1. Φωτεινή ροή τουλάχιστον 900 Lumen. </w:t>
      </w:r>
    </w:p>
    <w:p>
      <w:r>
        <w:rPr>
          <w:b w:val="1"/>
          <w:u w:val="single"/>
        </w:rPr>
        <w:t xml:space="preserve">3. Λαμπτήρες συμπαγείς </w:t>
      </w:r>
      <w:r>
        <w:rPr>
          <w:b w:val="1"/>
          <w:u w:val="single"/>
          <w:lang w:val="en-US"/>
        </w:rPr>
        <w:t>PL</w:t>
      </w:r>
      <w:r>
        <w:rPr>
          <w:b w:val="1"/>
          <w:u w:val="single"/>
        </w:rPr>
        <w:t>-</w:t>
      </w:r>
      <w:r>
        <w:rPr>
          <w:b w:val="1"/>
          <w:u w:val="single"/>
          <w:lang w:val="en-US"/>
        </w:rPr>
        <w:t>C</w:t>
      </w:r>
      <w:r>
        <w:rPr>
          <w:b w:val="1"/>
          <w:u w:val="single"/>
        </w:rPr>
        <w:t xml:space="preserve"> 18W</w:t>
      </w:r>
      <w:r>
        <w:t xml:space="preserve">. Ηλεκτρονικοί λαμπτήρες εξοικονόμησης ενέργειας </w:t>
      </w:r>
      <w:r>
        <w:rPr>
          <w:lang w:val="en-US"/>
        </w:rPr>
        <w:t>P</w:t>
      </w:r>
      <w:r>
        <w:t xml:space="preserve">L. Tάσης λειτουργίας 220V-240V  Μέσος χρόνος ζωής &gt;12.000 ώρες με κατανάλωση ~75% λιγότερο από τους απλούς λαμπτήρες πυράκτωσης. Κάλυκας </w:t>
      </w:r>
      <w:r>
        <w:rPr>
          <w:lang w:val="en-US"/>
        </w:rPr>
        <w:t>G</w:t>
      </w:r>
      <w:r>
        <w:t xml:space="preserve">24*-1. Φωτεινή ροή τουλάχιστον 1200 Lumen. </w:t>
      </w:r>
    </w:p>
    <w:p>
      <w:r>
        <w:rPr>
          <w:b w:val="1"/>
          <w:u w:val="single"/>
        </w:rPr>
        <w:t xml:space="preserve">4. Λαμπτήρες συμπαγείς </w:t>
      </w:r>
      <w:r>
        <w:rPr>
          <w:b w:val="1"/>
          <w:u w:val="single"/>
          <w:lang w:val="en-US"/>
        </w:rPr>
        <w:t>PL</w:t>
      </w:r>
      <w:r>
        <w:rPr>
          <w:b w:val="1"/>
          <w:u w:val="single"/>
        </w:rPr>
        <w:t>-</w:t>
      </w:r>
      <w:r>
        <w:rPr>
          <w:b w:val="1"/>
          <w:u w:val="single"/>
          <w:lang w:val="en-US"/>
        </w:rPr>
        <w:t>C</w:t>
      </w:r>
      <w:r>
        <w:rPr>
          <w:b w:val="1"/>
          <w:u w:val="single"/>
        </w:rPr>
        <w:t xml:space="preserve"> 26W</w:t>
      </w:r>
      <w:r>
        <w:t xml:space="preserve">. Ηλεκτρονικοί λαμπτήρες εξοικονόμησης ενέργειας </w:t>
      </w:r>
      <w:r>
        <w:rPr>
          <w:lang w:val="en-US"/>
        </w:rPr>
        <w:t>P</w:t>
      </w:r>
      <w:r>
        <w:t xml:space="preserve">L. Tάσης λειτουργίας 220V-240V  Μέσος χρόνος ζωής &gt;12.000 ώρες με κατανάλωση ~75% λιγότερο από τους απλούς λαμπτήρες πυράκτωσης. Κάλυκας </w:t>
      </w:r>
      <w:r>
        <w:rPr>
          <w:lang w:val="en-US"/>
        </w:rPr>
        <w:t>G</w:t>
      </w:r>
      <w:r>
        <w:t xml:space="preserve">24*-2. Φωτεινή ροή τουλάχιστον 1800 Lumen. </w:t>
      </w:r>
    </w:p>
    <w:p>
      <w:pPr>
        <w:rPr>
          <w:b w:val="1"/>
          <w:u w:val="single"/>
        </w:rPr>
      </w:pPr>
    </w:p>
    <w:p>
      <w:r>
        <w:rPr>
          <w:b w:val="1"/>
          <w:u w:val="single"/>
        </w:rPr>
        <w:t xml:space="preserve">5. Λαμπτήρες συμπαγείς </w:t>
      </w:r>
      <w:r>
        <w:rPr>
          <w:b w:val="1"/>
          <w:u w:val="single"/>
          <w:lang w:val="en-US"/>
        </w:rPr>
        <w:t>PL</w:t>
      </w:r>
      <w:r>
        <w:rPr>
          <w:b w:val="1"/>
          <w:u w:val="single"/>
        </w:rPr>
        <w:t>-</w:t>
      </w:r>
      <w:r>
        <w:rPr>
          <w:b w:val="1"/>
          <w:u w:val="single"/>
          <w:lang w:val="en-US"/>
        </w:rPr>
        <w:t>T</w:t>
      </w:r>
      <w:r>
        <w:rPr>
          <w:b w:val="1"/>
          <w:u w:val="single"/>
        </w:rPr>
        <w:t xml:space="preserve"> 32W</w:t>
      </w:r>
      <w:r>
        <w:t xml:space="preserve">. Ηλεκτρονικοί λαμπτήρες εξοικονόμησης ενέργειας </w:t>
      </w:r>
      <w:r>
        <w:rPr>
          <w:lang w:val="en-US"/>
        </w:rPr>
        <w:t>P</w:t>
      </w:r>
      <w:r>
        <w:t xml:space="preserve">L. Tάσης λειτουργίας 220V-240V  Μέσος χρόνος ζωής &gt;12.000 ώρες με κατανάλωση ~75% λιγότερο από τους απλούς λαμπτήρες πυράκτωσης. Κάλυκας </w:t>
      </w:r>
      <w:r>
        <w:rPr>
          <w:rFonts w:ascii="Tahoma" w:hAnsi="Tahoma"/>
          <w:sz w:val="21"/>
          <w:color w:val="3C3C3C"/>
        </w:rPr>
        <w:t>GX24q-3</w:t>
      </w:r>
      <w:r>
        <w:t xml:space="preserve">. Φωτεινή ροή τουλάχιστον 2400 Lumen. </w:t>
      </w:r>
    </w:p>
    <w:p>
      <w:r>
        <w:rPr>
          <w:b w:val="1"/>
          <w:u w:val="single"/>
        </w:rPr>
        <w:t xml:space="preserve">6. Λαμπτήρες συμπαγείς </w:t>
      </w:r>
      <w:r>
        <w:rPr>
          <w:b w:val="1"/>
          <w:u w:val="single"/>
          <w:lang w:val="en-US"/>
        </w:rPr>
        <w:t>PL</w:t>
      </w:r>
      <w:r>
        <w:rPr>
          <w:b w:val="1"/>
          <w:u w:val="single"/>
        </w:rPr>
        <w:t>-</w:t>
      </w:r>
      <w:r>
        <w:rPr>
          <w:b w:val="1"/>
          <w:u w:val="single"/>
          <w:lang w:val="en-US"/>
        </w:rPr>
        <w:t>T</w:t>
      </w:r>
      <w:r>
        <w:rPr>
          <w:b w:val="1"/>
          <w:u w:val="single"/>
        </w:rPr>
        <w:t xml:space="preserve"> 42W</w:t>
      </w:r>
      <w:r>
        <w:t xml:space="preserve">. Ηλεκτρονικοί λαμπτήρες εξοικονόμησης ενέργειας </w:t>
      </w:r>
      <w:r>
        <w:rPr>
          <w:lang w:val="en-US"/>
        </w:rPr>
        <w:t>P</w:t>
      </w:r>
      <w:r>
        <w:t xml:space="preserve">L. Tάσης λειτουργίας 220V-240V  Μέσος χρόνος ζωής &gt;12.000 ώρες με κατανάλωση ~75% λιγότερο από τους απλούς λαμπτήρες πυράκτωσης. Κάλυκας </w:t>
      </w:r>
      <w:r>
        <w:rPr>
          <w:rFonts w:ascii="Tahoma" w:hAnsi="Tahoma"/>
          <w:sz w:val="21"/>
          <w:color w:val="3C3C3C"/>
        </w:rPr>
        <w:t>GX24q-4</w:t>
      </w:r>
      <w:r>
        <w:t xml:space="preserve">. Φωτεινή ροή τουλάχιστον 3000 Lumen. </w:t>
      </w:r>
    </w:p>
    <w:p>
      <w:r>
        <w:rPr>
          <w:b w:val="1"/>
          <w:u w:val="single"/>
        </w:rPr>
        <w:t xml:space="preserve">7. Λαμπτήρες συμπαγείς </w:t>
      </w:r>
      <w:r>
        <w:rPr>
          <w:b w:val="1"/>
          <w:u w:val="single"/>
          <w:lang w:val="en-US"/>
        </w:rPr>
        <w:t>PL</w:t>
      </w:r>
      <w:r>
        <w:rPr>
          <w:b w:val="1"/>
          <w:u w:val="single"/>
        </w:rPr>
        <w:t>-</w:t>
      </w:r>
      <w:r>
        <w:rPr>
          <w:b w:val="1"/>
          <w:u w:val="single"/>
          <w:lang w:val="en-US"/>
        </w:rPr>
        <w:t>T</w:t>
      </w:r>
      <w:r>
        <w:rPr>
          <w:b w:val="1"/>
          <w:u w:val="single"/>
        </w:rPr>
        <w:t xml:space="preserve"> 57W</w:t>
      </w:r>
      <w:r>
        <w:t xml:space="preserve">. Ηλεκτρονικοί λαμπτήρες εξοικονόμησης ενέργειας </w:t>
      </w:r>
      <w:r>
        <w:rPr>
          <w:lang w:val="en-US"/>
        </w:rPr>
        <w:t>P</w:t>
      </w:r>
      <w:r>
        <w:t xml:space="preserve">L. Tάσης λειτουργίας 220V-240V  Μέσος χρόνος ζωής &gt;12.000 ώρες με κατανάλωση ~75% λιγότερο από τους απλούς λαμπτήρες πυράκτωσης. Κάλυκας </w:t>
      </w:r>
      <w:r>
        <w:rPr>
          <w:rFonts w:ascii="Tahoma" w:hAnsi="Tahoma"/>
          <w:sz w:val="21"/>
          <w:color w:val="3C3C3C"/>
        </w:rPr>
        <w:t>GX24q-5</w:t>
      </w:r>
      <w:r>
        <w:t xml:space="preserve">. Φωτεινή ροή τουλάχιστον 4200 Lumen. </w:t>
      </w:r>
    </w:p>
    <w:p>
      <w:r>
        <w:rPr>
          <w:b w:val="1"/>
          <w:u w:val="single"/>
        </w:rPr>
        <w:t>8. Λαμπτήρας φθορισμού τύπου βέργας TLD</w:t>
      </w:r>
      <w:r>
        <w:rPr>
          <w:b w:val="1"/>
        </w:rPr>
        <w:t>,</w:t>
      </w:r>
      <w:r>
        <w:t xml:space="preserve"> 15W, 240V. Κατάλληλοι για τροφοδότηση δικτύου 230V±5%. Η φωτιστική τους απόδοση θα είναι &gt;1000 Lm και  με μέση διάρκεια   ζωής 13.000h τουλάχιστο.</w:t>
      </w:r>
    </w:p>
    <w:p>
      <w:r>
        <w:rPr>
          <w:b w:val="1"/>
          <w:u w:val="single"/>
        </w:rPr>
        <w:t>9. Λαμπτήρας φθορισμού τύπου βέργας TLD</w:t>
      </w:r>
      <w:r>
        <w:rPr>
          <w:b w:val="1"/>
        </w:rPr>
        <w:t>,</w:t>
      </w:r>
      <w:r>
        <w:t xml:space="preserve"> 18W, 240V. Κατάλληλοι για τροφοδότηση δικτύου 230V±5%. Η φωτιστική τους απόδοση θα είναι &gt;1300 Lm και  με μέση διάρκεια   ζωής 13.000h τουλάχιστο.</w:t>
      </w:r>
    </w:p>
    <w:p>
      <w:r>
        <w:rPr>
          <w:b w:val="1"/>
          <w:u w:val="single"/>
        </w:rPr>
        <w:t>10. Λαμπτήρας φθορισμού τύπου βέργας TLD</w:t>
      </w:r>
      <w:r>
        <w:rPr>
          <w:b w:val="1"/>
        </w:rPr>
        <w:t>,</w:t>
      </w:r>
      <w:r>
        <w:t xml:space="preserve"> 23W, 240V. Κατάλληλοι για τροφοδότηση δικτύου 230V±5%. Η φωτιστική τους απόδοση θα είναι &gt;1800 Lm και  με μέση διάρκεια   ζωής 13.000h τουλάχιστο.</w:t>
      </w:r>
    </w:p>
    <w:p>
      <w:r>
        <w:rPr>
          <w:b w:val="1"/>
          <w:u w:val="single"/>
        </w:rPr>
        <w:t>11. Λαμπτήρας φθορισμού τύπου βέργας TLD</w:t>
      </w:r>
      <w:r>
        <w:rPr>
          <w:b w:val="1"/>
        </w:rPr>
        <w:t>,</w:t>
      </w:r>
      <w:r>
        <w:t xml:space="preserve"> 30W, 240V. Κατάλληλοι για τροφοδότηση δικτύου 230V±5%. Η φωτιστική τους απόδοση θα είναι &gt;2300 Lm και  με μέση διάρκεια   ζωής 13.000h τουλάχιστο.</w:t>
      </w:r>
    </w:p>
    <w:p>
      <w:r>
        <w:rPr>
          <w:b w:val="1"/>
          <w:u w:val="single"/>
        </w:rPr>
        <w:t>12. Λαμπτήρας φθορισμού τύπου βέργας TLD</w:t>
      </w:r>
      <w:r>
        <w:rPr>
          <w:b w:val="1"/>
        </w:rPr>
        <w:t>,</w:t>
      </w:r>
      <w:r>
        <w:t xml:space="preserve"> 36W, 240V. Κατάλληλοι για τροφοδότηση δικτύου 230V±5%. Η φωτιστική τους απόδοση θα είναι &gt;3000 Lm και  με μέση διάρκεια   ζωής 13.000h τουλάχιστο.</w:t>
      </w:r>
    </w:p>
    <w:p>
      <w:r>
        <w:rPr>
          <w:b w:val="1"/>
          <w:u w:val="single"/>
        </w:rPr>
        <w:t>13. Λαμπτήρας φθορισμού τύπου βέργας TLD</w:t>
      </w:r>
      <w:r>
        <w:rPr>
          <w:b w:val="1"/>
        </w:rPr>
        <w:t>,</w:t>
      </w:r>
      <w:r>
        <w:t xml:space="preserve"> 58W, 240V. Κατάλληλοι για τροφοδότηση δικτύου 230V±5%. Η φωτιστική τους απόδοση θα είναι &gt;4800 Lm και  με μέση διάρκεια   ζωής 13.000h τουλάχιστο.</w:t>
      </w:r>
    </w:p>
    <w:p>
      <w:r>
        <w:rPr>
          <w:b w:val="1"/>
          <w:u w:val="single"/>
        </w:rPr>
        <w:t>14. Τα καλώδια τύπου ΝΥ</w:t>
      </w:r>
      <w:r>
        <w:rPr>
          <w:b w:val="1"/>
          <w:u w:val="single"/>
          <w:lang w:val="en-US"/>
        </w:rPr>
        <w:t>L</w:t>
      </w:r>
      <w:r>
        <w:t xml:space="preserve">, H03VV-F και H05VV-F  θα είναι κατά ΕΛΟΤ 563 και HD 21.5. Όλοι οι αγωγοί θα είναι χάλκινοι και πολύκλωνοι. Οι αγωγοί θα φέρουν σε όλο το μήκος τους χαρακτηριστικούς χρωματισμούς των φάσεων, ουδετέρου και γείωσης.. Περιοχή θερμοκρασίας -30</w:t>
      </w:r>
      <w:r>
        <w:rPr>
          <w:vertAlign w:val="superscript"/>
        </w:rPr>
        <w:t>ο</w:t>
      </w:r>
      <w:r>
        <w:t xml:space="preserve"> έως +60 </w:t>
      </w:r>
      <w:r>
        <w:rPr>
          <w:vertAlign w:val="superscript"/>
        </w:rPr>
        <w:t>ο</w:t>
      </w:r>
      <w:r>
        <w:t>C. ΟΝΟΜΑΣΤΙΚΗ ΤΑΣΗ :300/300V και 300/500V.</w:t>
      </w:r>
    </w:p>
    <w:p>
      <w:r>
        <w:rPr>
          <w:b w:val="1"/>
          <w:u w:val="single"/>
        </w:rPr>
        <w:t>15. Τα καλώδια τύπου ΝΥΜ</w:t>
      </w:r>
      <w:r>
        <w:rPr>
          <w:b w:val="1"/>
        </w:rPr>
        <w:t>,</w:t>
      </w:r>
      <w:r>
        <w:t xml:space="preserve"> AO5VV-R, θα είναι κατά ΕΛΟΤ 563 και HD 21.3. ΟΝΟΜΑΣΤΙΚΗ ΤΑΣΗ :300/500V.</w:t>
      </w:r>
    </w:p>
    <w:p>
      <w:r>
        <w:rPr>
          <w:b w:val="1"/>
          <w:u w:val="single"/>
        </w:rPr>
        <w:t>16. Τα καλώδια τύπου ΝΥΑ</w:t>
      </w:r>
      <w:r>
        <w:t>, Η05V-U, θα είναι κατά ΕΛΟΤ 563 και HD 21.3. ΟΝΟΜΑΣΤΙΚΗ ΤΑΣΗ :300/500V.</w:t>
      </w:r>
    </w:p>
    <w:p>
      <w:pPr>
        <w:rPr>
          <w:sz w:val="24"/>
          <w:b w:val="1"/>
        </w:rPr>
      </w:pPr>
    </w:p>
    <w:p>
      <w:pPr>
        <w:rPr>
          <w:sz w:val="24"/>
          <w:b w:val="1"/>
        </w:rPr>
      </w:pPr>
    </w:p>
    <w:p>
      <w:pPr>
        <w:rPr>
          <w:sz w:val="24"/>
          <w:b w:val="1"/>
        </w:rPr>
      </w:pPr>
      <w:r>
        <w:rPr>
          <w:sz w:val="24"/>
          <w:b w:val="1"/>
        </w:rPr>
        <w:t xml:space="preserve">Δ. ΓΕΝΙΚΟΙ ΟΡΟΙ </w:t>
      </w:r>
    </w:p>
    <w:p>
      <w:pPr>
        <w:ind w:firstLine="0"/>
      </w:pPr>
      <w:r>
        <w:rPr>
          <w:b w:val="1"/>
        </w:rPr>
        <w:t>1.</w:t>
      </w:r>
      <w:r>
        <w:t xml:space="preserve"> Όλα τα παραπάνω υλικά θα συνοδεύονται με τις τεχνικές προδιαγραφές του κατασκευαστή ( prospectus ), τεχνικών φυλλαδίων - πιστοποιητικών ποιότητας στην ελληνική γλώσσα (ή όπου αυτό δεν είναι εφικτό, στην αγγλική) σφραγισμένες από τον προσφέροντα. </w:t>
      </w:r>
    </w:p>
    <w:p>
      <w:pPr>
        <w:ind w:firstLine="0"/>
      </w:pPr>
      <w:r>
        <w:rPr>
          <w:b w:val="1"/>
        </w:rPr>
        <w:t>2.</w:t>
      </w:r>
      <w:r>
        <w:t xml:space="preserve"> Όλα τα υλικά θα πρέπει να είναι καινούργια, αρίστης ποιότητας, να πληρούν τις προϋποθέσεις των ισχύοντα διεθνών κανονισμών καθώς και να φέρουν υποχρεωτικά την σήμανση καταλληλότητας CE .</w:t>
      </w:r>
    </w:p>
    <w:p>
      <w:pPr>
        <w:ind w:firstLine="0"/>
      </w:pPr>
      <w:r>
        <w:rPr>
          <w:b w:val="1"/>
        </w:rPr>
        <w:t xml:space="preserve">3. </w:t>
      </w:r>
      <w:r>
        <w:t xml:space="preserve">Η Παραλαβή των υλικών θα γίνει στο Μέγαρο της Βουλής από την αρμόδια Επιτροπή παραλαβής της Βουλής των Ελλήνων. Η Επιτροπή παραλαβής θα διενεργεί μακροσκοπικό έλεγχο των ειδών και σε κάθε περίπτωση δύναται να υποβάλλει αυτά σε οποιοδήποτε έλεγχο κρίνει απαραίτητο και να ζητήσει εκ νέου πιστοποιητικά καταλληλότητας των υλικών. </w:t>
      </w:r>
    </w:p>
    <w:p>
      <w:pPr>
        <w:ind w:firstLine="0"/>
      </w:pPr>
      <w:r>
        <w:rPr>
          <w:b w:val="1"/>
        </w:rPr>
        <w:t xml:space="preserve">4. </w:t>
      </w:r>
      <w:r>
        <w:t>Αν τα υλικά δεν συμφωνούν με τις προδιαγραφές της παρούσας τεχνικής Περιγραφής ή εμφανίζουν κάποιο ελάττωμα, ο Ανάδοχος υποχρεούται άμεσα να τα αντικαταστήσει, χωρίς άλλες διατυπώσεις.</w:t>
      </w:r>
    </w:p>
    <w:p>
      <w:pPr>
        <w:spacing w:lineRule="auto" w:line="240" w:before="0" w:after="0" w:beforeAutospacing="0" w:afterAutospacing="0"/>
        <w:ind w:firstLine="0"/>
        <w:tabs>
          <w:tab w:val="left" w:pos="0" w:leader="none"/>
          <w:tab w:val="left" w:pos="142" w:leader="none"/>
        </w:tabs>
      </w:pPr>
      <w:r>
        <w:t xml:space="preserve">5. Οι ενδιαφερόμενοι θα πρέπει να προσφέρουν όλα τα υλικά και να αποδεχθούν τους όρους της τεχνικής περιγραφής. Θα συμπληρώσουν  τις τιμές μονάδας (χωρίς ΦΠΑ), τα επιμέρους ποσά ανά είδος και το συνολικό τίμημα στον επισυναπτόμενο πίνακα. Η οικονομική προσφορά θα κατατεθεί σε κλειστό φάκελο με πρωτότυπη υπογραφή και σφραγίδα.</w:t>
      </w:r>
    </w:p>
    <w:p>
      <w:pPr>
        <w:ind w:firstLine="0"/>
      </w:pPr>
      <w:bookmarkStart w:id="0" w:name="_GoBack"/>
      <w:bookmarkEnd w:id="0"/>
      <w:r>
        <w:rPr>
          <w:b w:val="1"/>
        </w:rPr>
        <w:t>6.</w:t>
      </w:r>
      <w:r>
        <w:t xml:space="preserve"> Η επιλογή Αναδόχου θα γίνει με κριτήριο το χαμηλότερο κατ’ αποκοπή συνολικό τίμημα. Ο ΦΠΑ θα βαρύνει την Βουλή.</w:t>
      </w:r>
    </w:p>
    <w:p>
      <w:pPr>
        <w:ind w:firstLine="0"/>
      </w:pPr>
      <w:r>
        <w:rPr>
          <w:b w:val="1"/>
        </w:rPr>
        <w:t>7.</w:t>
      </w:r>
      <w:r>
        <w:t xml:space="preserve"> Η πληρωμή του Αναδόχου θα γίνει εφάπαξ με την υποβολή της βεβαίωσης της αρμόδιας επιτροπής για την οριστική και ποσοτική παραλαβή των υλικών και με την προσκόμιση από τον ανάδοχο του σχετικού τιμολογίου. </w:t>
      </w:r>
    </w:p>
    <w:p>
      <w:pPr>
        <w:jc w:val="center"/>
        <w:spacing w:lineRule="auto" w:line="240" w:before="0" w:after="0" w:beforeAutospacing="0" w:afterAutospacing="0"/>
        <w:ind w:firstLine="0"/>
        <w:rPr>
          <w:rFonts w:ascii="Arial" w:hAnsi="Arial"/>
          <w:sz w:val="20"/>
          <w:lang w:eastAsia="el-GR"/>
        </w:rPr>
      </w:pPr>
      <w:r>
        <w:rPr>
          <w:rFonts w:ascii="Arial" w:hAnsi="Arial"/>
          <w:sz w:val="20"/>
          <w:lang w:eastAsia="el-GR"/>
        </w:rPr>
        <w:t xml:space="preserve">Αθήνα,   Οκτώβριος 2015</w:t>
      </w:r>
    </w:p>
    <w:p>
      <w:pPr>
        <w:ind w:firstLine="0"/>
      </w:pPr>
    </w:p>
    <w:p>
      <w:pPr>
        <w:jc w:val="center"/>
        <w:ind w:firstLine="0"/>
        <w:rPr>
          <w:sz w:val="24"/>
          <w:b w:val="1"/>
        </w:rPr>
      </w:pPr>
      <w:r>
        <w:rPr>
          <w:sz w:val="24"/>
          <w:b w:val="1"/>
        </w:rPr>
        <w:t>Ο ΣΥΝΤΑΞΑΣ</w:t>
      </w:r>
    </w:p>
    <w:p>
      <w:pPr>
        <w:jc w:val="center"/>
        <w:ind w:firstLine="0"/>
      </w:pPr>
    </w:p>
    <w:p>
      <w:pPr>
        <w:jc w:val="center"/>
        <w:ind w:firstLine="0"/>
      </w:pPr>
    </w:p>
    <w:p>
      <w:pPr>
        <w:jc w:val="center"/>
        <w:ind w:firstLine="0"/>
      </w:pPr>
    </w:p>
    <w:p>
      <w:pPr>
        <w:jc w:val="center"/>
        <w:ind w:firstLine="0"/>
        <w:rPr>
          <w:sz w:val="24"/>
          <w:b w:val="1"/>
        </w:rPr>
      </w:pPr>
      <w:r>
        <w:rPr>
          <w:sz w:val="24"/>
          <w:b w:val="1"/>
        </w:rPr>
        <w:t>ΘΕΟΧΑΡΗΣ ΙΩΑΝΝΗΣ</w:t>
      </w:r>
    </w:p>
    <w:p>
      <w:pPr>
        <w:jc w:val="center"/>
        <w:spacing w:lineRule="auto" w:line="240" w:before="0" w:after="0" w:beforeAutospacing="0" w:afterAutospacing="0"/>
        <w:ind w:firstLine="0" w:left="284"/>
        <w:tabs>
          <w:tab w:val="left" w:pos="0" w:leader="none"/>
          <w:tab w:val="left" w:pos="142" w:leader="none"/>
        </w:tabs>
        <w:rPr>
          <w:sz w:val="24"/>
          <w:b w:val="1"/>
        </w:rPr>
      </w:pPr>
      <w:r>
        <w:rPr>
          <w:sz w:val="24"/>
          <w:b w:val="1"/>
        </w:rPr>
        <w:t>ΗΛΕΚ/ΓΟΣ ΜΗΧ/ΚΟΣ Τ.Ε.</w:t>
      </w:r>
    </w:p>
    <w:sectPr>
      <w:type w:val="nextPage"/>
      <w:pgSz w:w="11906" w:h="16838" w:code="0"/>
      <w:pgMar w:left="1800" w:right="1800" w:top="426" w:bottom="1440" w:header="708" w:footer="708" w:gutter="0"/>
    </w:sectPr>
  </w:body>
</w:document>
</file>

<file path=word/numbering.xml><?xml version="1.0" encoding="utf-8"?>
<w:numbering xmlns:w="http://schemas.openxmlformats.org/wordprocessingml/2006/main">
  <w:abstractNum w:abstractNumId="0">
    <w:nsid w:val="128C4859"/>
    <w:multiLevelType w:val="hybridMultilevel"/>
    <w:lvl w:ilvl="0" w:tplc="4080015">
      <w:pPr>
        <w:ind w:hanging="360" w:left="1080"/>
      </w:pPr>
      <w:rPr/>
      <w:lvlJc w:val="left"/>
      <w:start w:val="1"/>
      <w:numFmt w:val="upperLetter"/>
      <w:lvlText w:val="%1."/>
      <w:suff w:val="tab"/>
    </w:lvl>
    <w:lvl w:ilvl="1" w:tplc="4080019">
      <w:pPr>
        <w:ind w:hanging="360" w:left="1800"/>
      </w:pPr>
      <w:rPr/>
      <w:lvlJc w:val="left"/>
      <w:start w:val="1"/>
      <w:numFmt w:val="lowerLetter"/>
      <w:lvlText w:val="%2."/>
      <w:suff w:val="tab"/>
    </w:lvl>
    <w:lvl w:ilvl="2" w:tplc="408001B">
      <w:pPr>
        <w:ind w:hanging="180" w:left="2520"/>
      </w:pPr>
      <w:rPr/>
      <w:lvlJc w:val="right"/>
      <w:start w:val="1"/>
      <w:numFmt w:val="lowerRoman"/>
      <w:lvlText w:val="%3."/>
      <w:suff w:val="tab"/>
    </w:lvl>
    <w:lvl w:ilvl="3" w:tplc="408000F">
      <w:pPr>
        <w:ind w:hanging="360" w:left="3240"/>
      </w:pPr>
      <w:rPr/>
      <w:lvlJc w:val="left"/>
      <w:start w:val="1"/>
      <w:numFmt w:val="decimal"/>
      <w:lvlText w:val="%4."/>
      <w:suff w:val="tab"/>
    </w:lvl>
    <w:lvl w:ilvl="4" w:tplc="4080019">
      <w:pPr>
        <w:ind w:hanging="360" w:left="3960"/>
      </w:pPr>
      <w:rPr/>
      <w:lvlJc w:val="left"/>
      <w:start w:val="1"/>
      <w:numFmt w:val="lowerLetter"/>
      <w:lvlText w:val="%5."/>
      <w:suff w:val="tab"/>
    </w:lvl>
    <w:lvl w:ilvl="5" w:tplc="408001B">
      <w:pPr>
        <w:ind w:hanging="180" w:left="4680"/>
      </w:pPr>
      <w:rPr/>
      <w:lvlJc w:val="right"/>
      <w:start w:val="1"/>
      <w:numFmt w:val="lowerRoman"/>
      <w:lvlText w:val="%6."/>
      <w:suff w:val="tab"/>
    </w:lvl>
    <w:lvl w:ilvl="6" w:tplc="408000F">
      <w:pPr>
        <w:ind w:hanging="360" w:left="5400"/>
      </w:pPr>
      <w:rPr/>
      <w:lvlJc w:val="left"/>
      <w:start w:val="1"/>
      <w:numFmt w:val="decimal"/>
      <w:lvlText w:val="%7."/>
      <w:suff w:val="tab"/>
    </w:lvl>
    <w:lvl w:ilvl="7" w:tplc="4080019">
      <w:pPr>
        <w:ind w:hanging="360" w:left="6120"/>
      </w:pPr>
      <w:rPr/>
      <w:lvlJc w:val="left"/>
      <w:start w:val="1"/>
      <w:numFmt w:val="lowerLetter"/>
      <w:lvlText w:val="%8."/>
      <w:suff w:val="tab"/>
    </w:lvl>
    <w:lvl w:ilvl="8" w:tplc="408001B">
      <w:pPr>
        <w:ind w:hanging="180" w:left="6840"/>
      </w:pPr>
      <w:rPr/>
      <w:lvlJc w:val="right"/>
      <w:start w:val="1"/>
      <w:numFmt w:val="lowerRoman"/>
      <w:lvlText w:val="%9."/>
      <w:suff w:val="tab"/>
    </w:lvl>
  </w:abstractNum>
  <w:abstractNum w:abstractNumId="1">
    <w:nsid w:val="277B6025"/>
    <w:multiLevelType w:val="hybridMultilevel"/>
    <w:lvl w:ilvl="0" w:tplc="C83898E4">
      <w:pPr>
        <w:ind w:hanging="360" w:left="644"/>
      </w:pPr>
      <w:rPr>
        <w:b w:val="1"/>
      </w:rPr>
      <w:lvlJc w:val="left"/>
      <w:start w:val="1"/>
      <w:numFmt w:val="decimal"/>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abstractNum w:abstractNumId="2">
    <w:nsid w:val="2817465A"/>
    <w:multiLevelType w:val="hybridMultilevel"/>
    <w:lvl w:ilvl="0" w:tplc="4080001">
      <w:pPr>
        <w:ind w:hanging="360" w:left="720"/>
      </w:pPr>
      <w:rPr>
        <w:rFonts w:ascii="Symbol" w:hAnsi="Symbol"/>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3">
    <w:nsid w:val="3078217D"/>
    <w:multiLevelType w:val="hybridMultilevel"/>
    <w:lvl w:ilvl="0" w:tplc="408000F">
      <w:pPr>
        <w:ind w:hanging="360" w:left="1080"/>
      </w:pPr>
      <w:rPr/>
      <w:lvlJc w:val="left"/>
      <w:start w:val="1"/>
      <w:numFmt w:val="decimal"/>
      <w:lvlText w:val="%1."/>
      <w:suff w:val="tab"/>
    </w:lvl>
    <w:lvl w:ilvl="1" w:tplc="4080019">
      <w:pPr>
        <w:ind w:hanging="360" w:left="1800"/>
      </w:pPr>
      <w:rPr/>
      <w:lvlJc w:val="left"/>
      <w:start w:val="1"/>
      <w:numFmt w:val="lowerLetter"/>
      <w:lvlText w:val="%2."/>
      <w:suff w:val="tab"/>
    </w:lvl>
    <w:lvl w:ilvl="2" w:tplc="408001B">
      <w:pPr>
        <w:ind w:hanging="180" w:left="2520"/>
      </w:pPr>
      <w:rPr/>
      <w:lvlJc w:val="right"/>
      <w:start w:val="1"/>
      <w:numFmt w:val="lowerRoman"/>
      <w:lvlText w:val="%3."/>
      <w:suff w:val="tab"/>
    </w:lvl>
    <w:lvl w:ilvl="3" w:tplc="408000F">
      <w:pPr>
        <w:ind w:hanging="360" w:left="3240"/>
      </w:pPr>
      <w:rPr/>
      <w:lvlJc w:val="left"/>
      <w:start w:val="1"/>
      <w:numFmt w:val="decimal"/>
      <w:lvlText w:val="%4."/>
      <w:suff w:val="tab"/>
    </w:lvl>
    <w:lvl w:ilvl="4" w:tplc="4080019">
      <w:pPr>
        <w:ind w:hanging="360" w:left="3960"/>
      </w:pPr>
      <w:rPr/>
      <w:lvlJc w:val="left"/>
      <w:start w:val="1"/>
      <w:numFmt w:val="lowerLetter"/>
      <w:lvlText w:val="%5."/>
      <w:suff w:val="tab"/>
    </w:lvl>
    <w:lvl w:ilvl="5" w:tplc="408001B">
      <w:pPr>
        <w:ind w:hanging="180" w:left="4680"/>
      </w:pPr>
      <w:rPr/>
      <w:lvlJc w:val="right"/>
      <w:start w:val="1"/>
      <w:numFmt w:val="lowerRoman"/>
      <w:lvlText w:val="%6."/>
      <w:suff w:val="tab"/>
    </w:lvl>
    <w:lvl w:ilvl="6" w:tplc="408000F">
      <w:pPr>
        <w:ind w:hanging="360" w:left="5400"/>
      </w:pPr>
      <w:rPr/>
      <w:lvlJc w:val="left"/>
      <w:start w:val="1"/>
      <w:numFmt w:val="decimal"/>
      <w:lvlText w:val="%7."/>
      <w:suff w:val="tab"/>
    </w:lvl>
    <w:lvl w:ilvl="7" w:tplc="4080019">
      <w:pPr>
        <w:ind w:hanging="360" w:left="6120"/>
      </w:pPr>
      <w:rPr/>
      <w:lvlJc w:val="left"/>
      <w:start w:val="1"/>
      <w:numFmt w:val="lowerLetter"/>
      <w:lvlText w:val="%8."/>
      <w:suff w:val="tab"/>
    </w:lvl>
    <w:lvl w:ilvl="8" w:tplc="408001B">
      <w:pPr>
        <w:ind w:hanging="180" w:left="6840"/>
      </w:pPr>
      <w:rPr/>
      <w:lvlJc w:val="right"/>
      <w:start w:val="1"/>
      <w:numFmt w:val="lowerRoman"/>
      <w:lvlText w:val="%9."/>
      <w:suff w:val="tab"/>
    </w:lvl>
  </w:abstractNum>
  <w:abstractNum w:abstractNumId="4">
    <w:nsid w:val="371A31F0"/>
    <w:multiLevelType w:val="hybridMultilevel"/>
    <w:lvl w:ilvl="0" w:tplc="408000F">
      <w:pPr>
        <w:ind w:hanging="360" w:left="1080"/>
      </w:pPr>
      <w:rPr/>
      <w:lvlJc w:val="left"/>
      <w:start w:val="1"/>
      <w:numFmt w:val="decimal"/>
      <w:lvlText w:val="%1."/>
      <w:suff w:val="tab"/>
    </w:lvl>
    <w:lvl w:ilvl="1" w:tplc="4080019">
      <w:pPr>
        <w:ind w:hanging="360" w:left="1800"/>
      </w:pPr>
      <w:rPr/>
      <w:lvlJc w:val="left"/>
      <w:start w:val="1"/>
      <w:numFmt w:val="lowerLetter"/>
      <w:lvlText w:val="%2."/>
      <w:suff w:val="tab"/>
    </w:lvl>
    <w:lvl w:ilvl="2" w:tplc="408001B">
      <w:pPr>
        <w:ind w:hanging="180" w:left="2520"/>
      </w:pPr>
      <w:rPr/>
      <w:lvlJc w:val="right"/>
      <w:start w:val="1"/>
      <w:numFmt w:val="lowerRoman"/>
      <w:lvlText w:val="%3."/>
      <w:suff w:val="tab"/>
    </w:lvl>
    <w:lvl w:ilvl="3" w:tplc="408000F">
      <w:pPr>
        <w:ind w:hanging="360" w:left="3240"/>
      </w:pPr>
      <w:rPr/>
      <w:lvlJc w:val="left"/>
      <w:start w:val="1"/>
      <w:numFmt w:val="decimal"/>
      <w:lvlText w:val="%4."/>
      <w:suff w:val="tab"/>
    </w:lvl>
    <w:lvl w:ilvl="4" w:tplc="4080019">
      <w:pPr>
        <w:ind w:hanging="360" w:left="3960"/>
      </w:pPr>
      <w:rPr/>
      <w:lvlJc w:val="left"/>
      <w:start w:val="1"/>
      <w:numFmt w:val="lowerLetter"/>
      <w:lvlText w:val="%5."/>
      <w:suff w:val="tab"/>
    </w:lvl>
    <w:lvl w:ilvl="5" w:tplc="408001B">
      <w:pPr>
        <w:ind w:hanging="180" w:left="4680"/>
      </w:pPr>
      <w:rPr/>
      <w:lvlJc w:val="right"/>
      <w:start w:val="1"/>
      <w:numFmt w:val="lowerRoman"/>
      <w:lvlText w:val="%6."/>
      <w:suff w:val="tab"/>
    </w:lvl>
    <w:lvl w:ilvl="6" w:tplc="408000F">
      <w:pPr>
        <w:ind w:hanging="360" w:left="5400"/>
      </w:pPr>
      <w:rPr/>
      <w:lvlJc w:val="left"/>
      <w:start w:val="1"/>
      <w:numFmt w:val="decimal"/>
      <w:lvlText w:val="%7."/>
      <w:suff w:val="tab"/>
    </w:lvl>
    <w:lvl w:ilvl="7" w:tplc="4080019">
      <w:pPr>
        <w:ind w:hanging="360" w:left="6120"/>
      </w:pPr>
      <w:rPr/>
      <w:lvlJc w:val="left"/>
      <w:start w:val="1"/>
      <w:numFmt w:val="lowerLetter"/>
      <w:lvlText w:val="%8."/>
      <w:suff w:val="tab"/>
    </w:lvl>
    <w:lvl w:ilvl="8" w:tplc="408001B">
      <w:pPr>
        <w:ind w:hanging="180" w:left="6840"/>
      </w:pPr>
      <w:rPr/>
      <w:lvlJc w:val="right"/>
      <w:start w:val="1"/>
      <w:numFmt w:val="lowerRoman"/>
      <w:lvlText w:val="%9."/>
      <w:suff w:val="tab"/>
    </w:lvl>
  </w:abstractNum>
  <w:abstractNum w:abstractNumId="5">
    <w:nsid w:val="4B7510EF"/>
    <w:multiLevelType w:val="hybridMultilevel"/>
    <w:lvl w:ilvl="0" w:tplc="408000B">
      <w:pPr>
        <w:ind w:hanging="360" w:left="720"/>
      </w:pPr>
      <w:rPr>
        <w:rFonts w:ascii="Wingdings" w:hAnsi="Wingdings"/>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6">
    <w:nsid w:val="64B94BAC"/>
    <w:multiLevelType w:val="hybridMultilevel"/>
    <w:lvl w:ilvl="0" w:tplc="408000B">
      <w:pPr>
        <w:ind w:hanging="360" w:left="720"/>
      </w:pPr>
      <w:rPr>
        <w:rFonts w:ascii="Wingdings" w:hAnsi="Wingdings"/>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7">
    <w:nsid w:val="74407A09"/>
    <w:multiLevelType w:val="hybridMultilevel"/>
    <w:lvl w:ilvl="0" w:tplc="408000B">
      <w:pPr>
        <w:ind w:hanging="360" w:left="720"/>
      </w:pPr>
      <w:rPr>
        <w:rFonts w:ascii="Wingdings" w:hAnsi="Wingdings"/>
      </w:rPr>
      <w:lvlJc w:val="left"/>
      <w:start w:val="1"/>
      <w:numFmt w:val="bullet"/>
      <w:lvlText w:val=""/>
      <w:suff w:val="tab"/>
    </w:lvl>
    <w:lvl w:ilvl="1" w:tplc="7162408C">
      <w:pPr>
        <w:ind w:hanging="360" w:left="1440"/>
      </w:pPr>
      <w:rPr>
        <w:rFonts w:ascii="ArialMT" w:hAnsi="ArialMT"/>
      </w:rPr>
      <w:lvlJc w:val="left"/>
      <w:start w:val="1"/>
      <w:numFmt w:val="bullet"/>
      <w:lvlText w:val="-"/>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w="http://schemas.openxmlformats.org/wordprocessingml/2006/main">
  <w:autoHyphenation w:val="0"/>
  <w:defaultTabStop w:val="720"/>
  <w:evenAndOddHeaders w:val="0"/>
  <w:displayBackgroundShape w:val="0"/>
</w:settings>
</file>

<file path=word/styles.xml><?xml version="1.0" encoding="utf-8"?>
<w:styles xmlns:w="http://schemas.openxmlformats.org/wordprocessingml/2006/main">
  <w:docDefaults>
    <w:rPrDefault>
      <w:rPr>
        <w:rFonts w:ascii="Calibri" w:hAnsi="Calibri"/>
        <w:sz w:val="22"/>
        <w:b w:val="0"/>
        <w:i w:val="0"/>
        <w:caps w:val="0"/>
        <w:color w:val="000000"/>
        <w:highlight w:val="none"/>
        <w:vanish w:val="0"/>
        <w:u w:val="none"/>
        <w:strike w:val="0"/>
        <w:vertAlign w:val="baseline"/>
        <w:lang w:val="el-GR" w:bidi="ar-SA" w:eastAsia="en-US"/>
        <w:noProof w:val="0"/>
      </w:rPr>
    </w:rPrDefault>
    <w:pPrDefault>
      <w:pPr>
        <w:jc w:val="both"/>
        <w:spacing w:lineRule="auto" w:line="259" w:before="120" w:after="120" w:beforeAutospacing="0" w:afterAutospacing="0"/>
        <w:ind w:firstLine="720" w:left="0" w:right="0"/>
        <w:suppressAutoHyphens w:val="0"/>
        <w:suppressLineNumbers w:val="0"/>
        <w:contextualSpacing w:val="0"/>
        <w:pageBreakBefore w:val="0"/>
        <w:keepNext w:val="0"/>
        <w:keepLines w:val="0"/>
        <w:widowControl w:val="1"/>
        <w:shd w:fill="auto"/>
      </w:pPr>
    </w:pPrDefault>
  </w:docDefaults>
  <w:style w:type="paragraph" w:styleId="P0" w:default="1">
    <w:name w:val="Normal"/>
    <w:qFormat/>
    <w:pPr/>
    <w:rPr/>
  </w:style>
  <w:style w:type="paragraph" w:styleId="P1">
    <w:name w:val="List Paragraph"/>
    <w:qFormat/>
    <w:basedOn w:val="P0"/>
    <w:pPr>
      <w:ind w:left="720"/>
      <w:contextualSpacing w:val="1"/>
    </w:pPr>
    <w:rPr/>
  </w:style>
  <w:style w:type="paragraph" w:styleId="P2">
    <w:name w:val="Balloon Text"/>
    <w:basedOn w:val="P0"/>
    <w:link w:val="C3"/>
    <w:semiHidden w:val="1"/>
    <w:pPr>
      <w:spacing w:lineRule="auto" w:line="240" w:before="0" w:after="0" w:beforeAutospacing="0" w:afterAutospacing="0"/>
    </w:pPr>
    <w:rPr>
      <w:rFonts w:ascii="Segoe UI" w:hAnsi="Segoe UI"/>
      <w:sz w:val="18"/>
    </w:rPr>
  </w:style>
  <w:style w:type="character" w:styleId="C0" w:default="1">
    <w:name w:val="Default Paragraph Font"/>
    <w:semiHidden w:val="1"/>
    <w:rPr/>
  </w:style>
  <w:style w:type="character" w:styleId="C1">
    <w:name w:val="Line Number"/>
    <w:basedOn w:val="C0"/>
    <w:semiHidden w:val="1"/>
    <w:rPr/>
  </w:style>
  <w:style w:type="character" w:styleId="C2">
    <w:name w:val="Hyperlink"/>
    <w:basedOn w:val="C0"/>
    <w:rPr>
      <w:color w:val="0000FF"/>
      <w:u w:val="single"/>
    </w:rPr>
  </w:style>
  <w:style w:type="character" w:styleId="C3">
    <w:name w:val="Κείμενο πλαισίου Char"/>
    <w:basedOn w:val="C0"/>
    <w:link w:val="P2"/>
    <w:semiHidden w:val="1"/>
    <w:rPr>
      <w:rFonts w:ascii="Segoe UI" w:hAnsi="Segoe UI"/>
      <w:sz w:val="18"/>
    </w:rPr>
  </w:style>
  <w:style w:type="table" w:styleId="T0" w:default="1">
    <w:name w:val="Normal Table"/>
    <w:semiHidden w:val="1"/>
    <w:tblPr>
      <w:tblInd w:w="0" w:type="dxa"/>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